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480" w:firstLineChars="200"/>
        <w:jc w:val="center"/>
        <w:rPr>
          <w:rFonts w:hint="eastAsia" w:ascii="宋体" w:hAnsi="宋体" w:eastAsia="宋体" w:cs="宋体"/>
          <w:sz w:val="24"/>
          <w:szCs w:val="24"/>
          <w:lang w:eastAsia="zh-CN"/>
        </w:rPr>
      </w:pPr>
      <w:bookmarkStart w:id="0" w:name="_GoBack"/>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奖罚细则</w:t>
      </w:r>
      <w:r>
        <w:rPr>
          <w:rFonts w:hint="eastAsia" w:ascii="宋体" w:hAnsi="宋体" w:eastAsia="宋体" w:cs="宋体"/>
          <w:sz w:val="24"/>
          <w:szCs w:val="24"/>
          <w:lang w:eastAsia="zh-CN"/>
        </w:rPr>
        <w:t>》</w:t>
      </w:r>
    </w:p>
    <w:bookmarkEnd w:id="0"/>
    <w:p>
      <w:pPr>
        <w:adjustRightInd w:val="0"/>
        <w:snapToGrid w:val="0"/>
        <w:spacing w:line="360" w:lineRule="auto"/>
        <w:ind w:firstLine="420" w:firstLineChars="200"/>
        <w:rPr>
          <w:rFonts w:ascii="宋体" w:hAnsi="宋体" w:eastAsia="宋体" w:cs="Times New Roman"/>
          <w:szCs w:val="21"/>
        </w:rPr>
      </w:pPr>
      <w:r>
        <w:rPr>
          <w:rFonts w:hint="eastAsia" w:ascii="宋体" w:hAnsi="宋体" w:eastAsia="宋体" w:cs="宋体"/>
          <w:szCs w:val="21"/>
        </w:rPr>
        <w:t>1、</w:t>
      </w:r>
      <w:r>
        <w:rPr>
          <w:rFonts w:hint="eastAsia" w:ascii="宋体" w:hAnsi="宋体" w:eastAsia="宋体" w:cs="Times New Roman"/>
          <w:szCs w:val="21"/>
        </w:rPr>
        <w:t>质量</w:t>
      </w:r>
      <w:r>
        <w:rPr>
          <w:rFonts w:ascii="宋体" w:hAnsi="宋体" w:eastAsia="宋体" w:cs="Times New Roman"/>
          <w:szCs w:val="21"/>
        </w:rPr>
        <w:t>管理</w:t>
      </w:r>
      <w:r>
        <w:rPr>
          <w:rFonts w:hint="eastAsia" w:ascii="宋体" w:hAnsi="宋体" w:eastAsia="宋体" w:cs="Times New Roman"/>
          <w:szCs w:val="21"/>
        </w:rPr>
        <w:t>违约金细则</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567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序号</w:t>
            </w:r>
          </w:p>
        </w:tc>
        <w:tc>
          <w:tcPr>
            <w:tcW w:w="5670"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违约条款</w:t>
            </w:r>
          </w:p>
        </w:tc>
        <w:tc>
          <w:tcPr>
            <w:tcW w:w="2268"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违约金</w:t>
            </w:r>
            <w:r>
              <w:rPr>
                <w:rFonts w:ascii="宋体" w:hAnsi="宋体" w:eastAsia="宋体" w:cs="Times New Roman"/>
                <w:b/>
                <w:szCs w:val="21"/>
              </w:rPr>
              <w:t>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未按时按要求上报施工方案。</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1000-5000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未按发包人要求进行材料封样</w:t>
            </w:r>
          </w:p>
        </w:tc>
        <w:tc>
          <w:tcPr>
            <w:tcW w:w="2268" w:type="dxa"/>
            <w:vAlign w:val="center"/>
          </w:tcPr>
          <w:p>
            <w:pPr>
              <w:adjustRightInd w:val="0"/>
              <w:snapToGrid w:val="0"/>
              <w:jc w:val="center"/>
              <w:rPr>
                <w:rFonts w:hint="eastAsia" w:ascii="宋体" w:hAnsi="宋体" w:eastAsia="宋体" w:cs="Times New Roman"/>
                <w:szCs w:val="21"/>
              </w:rPr>
            </w:pPr>
            <w:r>
              <w:rPr>
                <w:rFonts w:hint="eastAsia" w:ascii="宋体" w:hAnsi="宋体" w:eastAsia="宋体" w:cs="Times New Roman"/>
                <w:szCs w:val="21"/>
              </w:rPr>
              <w:t>1000-</w:t>
            </w:r>
            <w:r>
              <w:rPr>
                <w:rFonts w:ascii="宋体" w:hAnsi="宋体" w:eastAsia="宋体" w:cs="Times New Roman"/>
                <w:szCs w:val="21"/>
              </w:rPr>
              <w:t>2000</w:t>
            </w:r>
            <w:r>
              <w:rPr>
                <w:rFonts w:hint="eastAsia" w:ascii="宋体" w:hAnsi="宋体" w:eastAsia="宋体" w:cs="Times New Roman"/>
                <w:szCs w:val="21"/>
              </w:rPr>
              <w:t>元/种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3</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未按发包人要求进行样板制作或两次整改仍未到位</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000-</w:t>
            </w:r>
            <w:r>
              <w:rPr>
                <w:rFonts w:ascii="宋体" w:hAnsi="宋体" w:eastAsia="宋体" w:cs="Times New Roman"/>
                <w:szCs w:val="21"/>
              </w:rPr>
              <w:t>10000</w:t>
            </w:r>
            <w:r>
              <w:rPr>
                <w:rFonts w:hint="eastAsia" w:ascii="宋体" w:hAnsi="宋体" w:eastAsia="宋体" w:cs="Times New Roman"/>
                <w:szCs w:val="21"/>
              </w:rPr>
              <w:t>元/处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4</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验收过程中同一工序发现二处或两次未进行自检。</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对现场其他单位的产成品、半成品损坏。</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6</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施工过程中，上道工序未经过验收就进行下道工序施工。</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w:t>
            </w:r>
            <w:r>
              <w:rPr>
                <w:rFonts w:ascii="宋体" w:hAnsi="宋体" w:eastAsia="宋体" w:cs="Times New Roman"/>
                <w:szCs w:val="21"/>
              </w:rPr>
              <w:t>2000</w:t>
            </w:r>
            <w:r>
              <w:rPr>
                <w:rFonts w:hint="eastAsia" w:ascii="宋体" w:hAnsi="宋体" w:eastAsia="宋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7</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关键工序的质量存在问题，故意隐瞒不报。</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处，同时承担受损单位相关损失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8</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不按要求施工，造成质量事故或缺陷。</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w:t>
            </w:r>
            <w:r>
              <w:rPr>
                <w:rFonts w:ascii="宋体" w:hAnsi="宋体" w:eastAsia="宋体" w:cs="Times New Roman"/>
                <w:szCs w:val="21"/>
              </w:rPr>
              <w:t>10000</w:t>
            </w:r>
            <w:r>
              <w:rPr>
                <w:rFonts w:hint="eastAsia" w:ascii="宋体" w:hAnsi="宋体" w:eastAsia="宋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9</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因质量问题造成安全隐患。</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r>
              <w:rPr>
                <w:rFonts w:hint="eastAsia" w:ascii="宋体" w:hAnsi="宋体" w:eastAsia="宋体" w:cs="Times New Roman"/>
                <w:szCs w:val="21"/>
              </w:rPr>
              <w:t>～</w:t>
            </w:r>
            <w:r>
              <w:rPr>
                <w:rFonts w:ascii="宋体" w:hAnsi="宋体" w:eastAsia="宋体" w:cs="Times New Roman"/>
                <w:szCs w:val="21"/>
              </w:rPr>
              <w:t>10000</w:t>
            </w:r>
            <w:r>
              <w:rPr>
                <w:rFonts w:hint="eastAsia" w:ascii="宋体" w:hAnsi="宋体" w:eastAsia="宋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对监理下发的整改通知单未及时整改或整改不力且未回复。</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w:t>
            </w:r>
            <w:r>
              <w:rPr>
                <w:rFonts w:ascii="宋体" w:hAnsi="宋体" w:eastAsia="宋体" w:cs="Times New Roman"/>
                <w:szCs w:val="21"/>
              </w:rPr>
              <w:t>3000</w:t>
            </w:r>
            <w:r>
              <w:rPr>
                <w:rFonts w:hint="eastAsia" w:ascii="宋体" w:hAnsi="宋体" w:eastAsia="宋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11</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上报归档的技术质保资料不真实，不准确。</w:t>
            </w:r>
          </w:p>
        </w:tc>
        <w:tc>
          <w:tcPr>
            <w:tcW w:w="2268"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w:t>
            </w:r>
            <w:r>
              <w:rPr>
                <w:rFonts w:ascii="宋体" w:hAnsi="宋体" w:eastAsia="宋体" w:cs="Times New Roman"/>
                <w:szCs w:val="21"/>
              </w:rPr>
              <w:t>2000</w:t>
            </w:r>
            <w:r>
              <w:rPr>
                <w:rFonts w:hint="eastAsia" w:ascii="宋体" w:hAnsi="宋体" w:eastAsia="宋体"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09"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12</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材料未经报审擅自使用。</w:t>
            </w:r>
          </w:p>
        </w:tc>
        <w:tc>
          <w:tcPr>
            <w:tcW w:w="2268"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5000～10000元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7" w:hRule="atLeast"/>
          <w:jc w:val="center"/>
        </w:trPr>
        <w:tc>
          <w:tcPr>
            <w:tcW w:w="709"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13</w:t>
            </w: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精装修工程的墙地面铺贴平面设计图纸、景观硬铺装工程的地面铺贴平面设计图纸未按要求在工作面（精装修工程户内以每户为单位，公共区域为楼层为单位；景观硬铺装以每个流水施工段为单位）进行展示。</w:t>
            </w:r>
          </w:p>
        </w:tc>
        <w:tc>
          <w:tcPr>
            <w:tcW w:w="2268"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200元/处</w:t>
            </w:r>
          </w:p>
        </w:tc>
      </w:tr>
    </w:tbl>
    <w:p>
      <w:pPr>
        <w:adjustRightInd w:val="0"/>
        <w:snapToGrid w:val="0"/>
        <w:spacing w:line="360" w:lineRule="auto"/>
        <w:ind w:left="380"/>
        <w:rPr>
          <w:rFonts w:ascii="宋体" w:hAnsi="宋体" w:eastAsia="宋体" w:cs="宋体"/>
          <w:szCs w:val="21"/>
        </w:rPr>
      </w:pPr>
    </w:p>
    <w:p>
      <w:pPr>
        <w:adjustRightInd w:val="0"/>
        <w:snapToGrid w:val="0"/>
        <w:spacing w:line="360" w:lineRule="auto"/>
        <w:ind w:left="380"/>
        <w:rPr>
          <w:rFonts w:ascii="宋体" w:hAnsi="宋体" w:eastAsia="宋体" w:cs="Times New Roman"/>
          <w:szCs w:val="21"/>
        </w:rPr>
      </w:pPr>
      <w:r>
        <w:rPr>
          <w:rFonts w:ascii="宋体" w:hAnsi="宋体" w:eastAsia="宋体" w:cs="宋体"/>
          <w:szCs w:val="21"/>
        </w:rPr>
        <w:t>2</w:t>
      </w:r>
      <w:r>
        <w:rPr>
          <w:rFonts w:hint="eastAsia" w:ascii="宋体" w:hAnsi="宋体" w:eastAsia="宋体" w:cs="宋体"/>
          <w:szCs w:val="21"/>
        </w:rPr>
        <w:t>、</w:t>
      </w:r>
      <w:r>
        <w:rPr>
          <w:rFonts w:hint="eastAsia" w:ascii="宋体" w:hAnsi="宋体" w:eastAsia="宋体" w:cs="Times New Roman"/>
          <w:szCs w:val="21"/>
        </w:rPr>
        <w:t>日常</w:t>
      </w:r>
      <w:r>
        <w:rPr>
          <w:rFonts w:ascii="宋体" w:hAnsi="宋体" w:eastAsia="宋体" w:cs="Times New Roman"/>
          <w:szCs w:val="21"/>
        </w:rPr>
        <w:t>管理</w:t>
      </w:r>
      <w:r>
        <w:rPr>
          <w:rFonts w:hint="eastAsia" w:ascii="宋体" w:hAnsi="宋体" w:eastAsia="宋体" w:cs="Times New Roman"/>
          <w:szCs w:val="21"/>
        </w:rPr>
        <w:t>违约金</w:t>
      </w:r>
      <w:r>
        <w:rPr>
          <w:rFonts w:ascii="宋体" w:hAnsi="宋体" w:eastAsia="宋体" w:cs="Times New Roman"/>
          <w:szCs w:val="21"/>
        </w:rPr>
        <w:t>细则</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5670"/>
        <w:gridCol w:w="2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序号</w:t>
            </w:r>
          </w:p>
        </w:tc>
        <w:tc>
          <w:tcPr>
            <w:tcW w:w="5670"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违约条款</w:t>
            </w:r>
          </w:p>
        </w:tc>
        <w:tc>
          <w:tcPr>
            <w:tcW w:w="2482" w:type="dxa"/>
            <w:vAlign w:val="center"/>
          </w:tcPr>
          <w:p>
            <w:pPr>
              <w:adjustRightInd w:val="0"/>
              <w:snapToGrid w:val="0"/>
              <w:jc w:val="center"/>
              <w:rPr>
                <w:rFonts w:ascii="宋体" w:hAnsi="宋体" w:eastAsia="宋体" w:cs="Times New Roman"/>
                <w:b/>
                <w:szCs w:val="21"/>
              </w:rPr>
            </w:pPr>
            <w:r>
              <w:rPr>
                <w:rFonts w:hint="eastAsia" w:ascii="宋体" w:hAnsi="宋体" w:eastAsia="宋体" w:cs="Times New Roman"/>
                <w:b/>
                <w:szCs w:val="21"/>
              </w:rPr>
              <w:t>违约金</w:t>
            </w:r>
            <w:r>
              <w:rPr>
                <w:rFonts w:ascii="宋体" w:hAnsi="宋体" w:eastAsia="宋体" w:cs="Times New Roman"/>
                <w:b/>
                <w:szCs w:val="21"/>
              </w:rPr>
              <w:t>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擅自停工。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人员设备不能满足经批准的施工方案要求。</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人（台）·天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关键岗位（项目经理、技术总工、安全总监、质量总监），未履行正式的请假手续，且未经发包方批准无故不参加工程例会；未经同意，擅自更换指定会议出席者。</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200~500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无故不参加进度、质量、安全、协调、各项交底、技术讨论、方案评审等会议。</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200~500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未按要求组织全体工人参加定期的安全交底。</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未按要求及时提交施工管理和技术资料。</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拒收发包方文件（信函、指示、会议纪要、质量</w:t>
            </w:r>
            <w:r>
              <w:rPr>
                <w:rFonts w:ascii="宋体" w:hAnsi="宋体" w:eastAsia="宋体" w:cs="Times New Roman"/>
                <w:szCs w:val="21"/>
              </w:rPr>
              <w:t>/</w:t>
            </w:r>
            <w:r>
              <w:rPr>
                <w:rFonts w:hint="eastAsia" w:ascii="宋体" w:hAnsi="宋体" w:eastAsia="宋体" w:cs="Times New Roman"/>
                <w:szCs w:val="21"/>
              </w:rPr>
              <w:t>安全</w:t>
            </w:r>
            <w:r>
              <w:rPr>
                <w:rFonts w:ascii="宋体" w:hAnsi="宋体" w:eastAsia="宋体" w:cs="Times New Roman"/>
                <w:szCs w:val="21"/>
              </w:rPr>
              <w:t>/</w:t>
            </w:r>
            <w:r>
              <w:rPr>
                <w:rFonts w:hint="eastAsia" w:ascii="宋体" w:hAnsi="宋体" w:eastAsia="宋体" w:cs="Times New Roman"/>
                <w:szCs w:val="21"/>
              </w:rPr>
              <w:t>进度整改通知及罚款单）。</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消极态度对待发包人的正确精神指示。</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拒收发包人文件（信函、指示、会议纪要、质量</w:t>
            </w:r>
            <w:r>
              <w:rPr>
                <w:rFonts w:ascii="宋体" w:hAnsi="宋体" w:eastAsia="宋体" w:cs="Times New Roman"/>
                <w:szCs w:val="21"/>
              </w:rPr>
              <w:t>/</w:t>
            </w:r>
            <w:r>
              <w:rPr>
                <w:rFonts w:hint="eastAsia" w:ascii="宋体" w:hAnsi="宋体" w:eastAsia="宋体" w:cs="Times New Roman"/>
                <w:szCs w:val="21"/>
              </w:rPr>
              <w:t>安全</w:t>
            </w:r>
            <w:r>
              <w:rPr>
                <w:rFonts w:ascii="宋体" w:hAnsi="宋体" w:eastAsia="宋体" w:cs="Times New Roman"/>
                <w:szCs w:val="21"/>
              </w:rPr>
              <w:t>/</w:t>
            </w:r>
            <w:r>
              <w:rPr>
                <w:rFonts w:hint="eastAsia" w:ascii="宋体" w:hAnsi="宋体" w:eastAsia="宋体" w:cs="Times New Roman"/>
                <w:szCs w:val="21"/>
              </w:rPr>
              <w:t>进度整改通知及罚款单）。</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拒绝提交或者回复发包人文件（信函、指示、会议纪要、质量</w:t>
            </w:r>
            <w:r>
              <w:rPr>
                <w:rFonts w:ascii="宋体" w:hAnsi="宋体" w:eastAsia="宋体" w:cs="Times New Roman"/>
                <w:szCs w:val="21"/>
              </w:rPr>
              <w:t>/</w:t>
            </w:r>
            <w:r>
              <w:rPr>
                <w:rFonts w:hint="eastAsia" w:ascii="宋体" w:hAnsi="宋体" w:eastAsia="宋体" w:cs="Times New Roman"/>
                <w:szCs w:val="21"/>
              </w:rPr>
              <w:t>安全</w:t>
            </w:r>
            <w:r>
              <w:rPr>
                <w:rFonts w:ascii="宋体" w:hAnsi="宋体" w:eastAsia="宋体" w:cs="Times New Roman"/>
                <w:szCs w:val="21"/>
              </w:rPr>
              <w:t>/</w:t>
            </w:r>
            <w:r>
              <w:rPr>
                <w:rFonts w:hint="eastAsia" w:ascii="宋体" w:hAnsi="宋体" w:eastAsia="宋体" w:cs="Times New Roman"/>
                <w:szCs w:val="21"/>
              </w:rPr>
              <w:t>进度整改通知及罚款单）。</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无故不接受发包人或监理人的正确指挥、指示、通知。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对发包人或监理人发出的正确指挥、指示、通知不执行，不处理。</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无故辱骂发包人、监理人、或其他与本项目相关单位。</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3000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无故殴打发包人、监理人、或其他与本项目相关单位。</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5-50万</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质量管理制度不健全或落实不到位，质量管理混乱。</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2万</w:t>
            </w:r>
            <w:r>
              <w:rPr>
                <w:rFonts w:hint="eastAsia" w:ascii="宋体" w:hAnsi="宋体" w:eastAsia="宋体" w:cs="Times New Roman"/>
                <w:szCs w:val="21"/>
              </w:rPr>
              <w:t>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施工组织设计或专项施工方案未经审批进行施工。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未经发包人同意，</w:t>
            </w:r>
            <w:r>
              <w:rPr>
                <w:rFonts w:ascii="宋体" w:hAnsi="宋体" w:eastAsia="宋体" w:cs="Times New Roman"/>
                <w:szCs w:val="21"/>
              </w:rPr>
              <w:t>擅自</w:t>
            </w:r>
            <w:r>
              <w:rPr>
                <w:rFonts w:hint="eastAsia" w:ascii="宋体" w:hAnsi="宋体" w:eastAsia="宋体" w:cs="Times New Roman"/>
                <w:szCs w:val="21"/>
              </w:rPr>
              <w:t>使用招标文件品牌范围或厂家范围以外相关材料的。</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未按招标</w:t>
            </w:r>
            <w:r>
              <w:rPr>
                <w:rFonts w:ascii="宋体" w:hAnsi="宋体" w:eastAsia="宋体" w:cs="Times New Roman"/>
                <w:szCs w:val="21"/>
              </w:rPr>
              <w:t>/</w:t>
            </w:r>
            <w:r>
              <w:rPr>
                <w:rFonts w:hint="eastAsia" w:ascii="宋体" w:hAnsi="宋体" w:eastAsia="宋体" w:cs="Times New Roman"/>
                <w:szCs w:val="21"/>
              </w:rPr>
              <w:t>设计文件、技术标准施工。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未执行质量检验制度，未对有要求和涉及结构安全的试块及材料进行送检，未按要求执行样板引路制度。</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建筑材料、配件及设备的进场检验不合格，采用列入禁止目录的技术、工艺、设备、材料和产品或者未按照建筑节能设计要求和建筑节能施工规范进行施工。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在施工现场搅拌混凝土或者砂浆。</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发生质量事故，造成经济损失</w:t>
            </w:r>
            <w:r>
              <w:rPr>
                <w:rFonts w:ascii="宋体" w:hAnsi="宋体" w:eastAsia="宋体" w:cs="Times New Roman"/>
                <w:szCs w:val="21"/>
              </w:rPr>
              <w:t>10</w:t>
            </w:r>
            <w:r>
              <w:rPr>
                <w:rFonts w:hint="eastAsia" w:ascii="宋体" w:hAnsi="宋体" w:eastAsia="宋体" w:cs="Times New Roman"/>
                <w:szCs w:val="21"/>
              </w:rPr>
              <w:t>万元以上或工期延误</w:t>
            </w:r>
            <w:r>
              <w:rPr>
                <w:rFonts w:ascii="宋体" w:hAnsi="宋体" w:eastAsia="宋体" w:cs="Times New Roman"/>
                <w:szCs w:val="21"/>
              </w:rPr>
              <w:t>5</w:t>
            </w:r>
            <w:r>
              <w:rPr>
                <w:rFonts w:hint="eastAsia" w:ascii="宋体" w:hAnsi="宋体" w:eastAsia="宋体" w:cs="Times New Roman"/>
                <w:szCs w:val="21"/>
              </w:rPr>
              <w:t>天以上。</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工程出现质量缺陷，且承包人3日内未达到或5日内未处理完毕。</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5000元/天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工程出现大量的质量缺陷。</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发现重大质量隐患。</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擅自修改设计并施工。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弄虚作假，使用不合格的材料或设备。</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被责令停工后仍继续施工或被责令整改，拒不整改或整改后仍不合格。</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发生重大质量问题未及时返工。</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发生质量事故，造成经济损失</w:t>
            </w:r>
            <w:r>
              <w:rPr>
                <w:rFonts w:ascii="宋体" w:hAnsi="宋体" w:eastAsia="宋体" w:cs="Times New Roman"/>
                <w:szCs w:val="21"/>
              </w:rPr>
              <w:t>20</w:t>
            </w:r>
            <w:r>
              <w:rPr>
                <w:rFonts w:hint="eastAsia" w:ascii="宋体" w:hAnsi="宋体" w:eastAsia="宋体" w:cs="Times New Roman"/>
                <w:szCs w:val="21"/>
              </w:rPr>
              <w:t>万元以上或工期延误</w:t>
            </w:r>
            <w:r>
              <w:rPr>
                <w:rFonts w:ascii="宋体" w:hAnsi="宋体" w:eastAsia="宋体" w:cs="Times New Roman"/>
                <w:szCs w:val="21"/>
              </w:rPr>
              <w:t>10</w:t>
            </w:r>
            <w:r>
              <w:rPr>
                <w:rFonts w:hint="eastAsia" w:ascii="宋体" w:hAnsi="宋体" w:eastAsia="宋体" w:cs="Times New Roman"/>
                <w:szCs w:val="21"/>
              </w:rPr>
              <w:t>天以上。</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w:t>
            </w:r>
            <w:r>
              <w:rPr>
                <w:rFonts w:hint="eastAsia" w:ascii="宋体" w:hAnsi="宋体" w:eastAsia="宋体" w:cs="Times New Roman"/>
                <w:szCs w:val="21"/>
              </w:rPr>
              <w:t>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承包人未履行总承包管理的义务与其它分包人配合好各工序交叉施工。</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1000元/次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承包人违反法律、法规及发包人规定进行分包、转包，即构成承包人违约。如未对实际工程的施工产生负面影响的，且承包人进行了整改。</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 xml:space="preserve">实际分包金额的20%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承包人违反法律、法规及发包人规定进行分包、转包，即构成承包人违约。如不进行整改，发包人有权收回发包人的全部项目另行发包第三方。</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分包期间产生的差价及由此造成的损失均由承包人承担。同时承包人须向</w:t>
            </w:r>
            <w:r>
              <w:rPr>
                <w:rFonts w:ascii="宋体" w:hAnsi="宋体" w:eastAsia="宋体" w:cs="Times New Roman"/>
                <w:szCs w:val="21"/>
              </w:rPr>
              <w:t>发包人支付</w:t>
            </w:r>
            <w:r>
              <w:rPr>
                <w:rFonts w:hint="eastAsia" w:ascii="宋体" w:hAnsi="宋体" w:eastAsia="宋体" w:cs="Times New Roman"/>
                <w:szCs w:val="21"/>
              </w:rPr>
              <w:t>实际分包金额的20%的违约金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质量事故引起群体事件，如群体性质量投诉、住户拒绝收房等。</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结算总价</w:t>
            </w:r>
            <w:r>
              <w:rPr>
                <w:rFonts w:ascii="宋体" w:hAnsi="宋体" w:eastAsia="宋体" w:cs="Times New Roman"/>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交房后，因质量问题造成在网上、报纸、电视等媒体曝光事件，对发包人社会形象造成不良影响的。</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结算总价</w:t>
            </w:r>
            <w:r>
              <w:rPr>
                <w:rFonts w:ascii="宋体" w:hAnsi="宋体" w:eastAsia="宋体" w:cs="Times New Roman"/>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承包人原因造成发包人、监理人或其他分包人经济损失、信誉受损、或受到行政主管部门不良行为记录、扣分等行政处罚的。</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1～3万元/次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未实现施工承包合同文件中已经明确的本工程工程质量施工目标。</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按承包合同总价的</w:t>
            </w:r>
            <w:r>
              <w:rPr>
                <w:rFonts w:ascii="宋体" w:hAnsi="宋体" w:eastAsia="宋体"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如抽查发现一例工人未接受交底（或交底造假）</w:t>
            </w:r>
          </w:p>
        </w:tc>
        <w:tc>
          <w:tcPr>
            <w:tcW w:w="248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人，并要求工人三天内交底完成。否则开除工人。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发生承包人拖欠现场工人工资的情况。</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0.1～1万元/次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3" w:type="dxa"/>
            <w:vAlign w:val="center"/>
          </w:tcPr>
          <w:p>
            <w:pPr>
              <w:numPr>
                <w:ilvl w:val="0"/>
                <w:numId w:val="1"/>
              </w:numPr>
              <w:adjustRightInd w:val="0"/>
              <w:snapToGrid w:val="0"/>
              <w:jc w:val="center"/>
              <w:rPr>
                <w:rFonts w:ascii="宋体" w:hAnsi="宋体" w:eastAsia="宋体" w:cs="Times New Roman"/>
                <w:szCs w:val="21"/>
              </w:rPr>
            </w:pPr>
          </w:p>
        </w:tc>
        <w:tc>
          <w:tcPr>
            <w:tcW w:w="567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因承包人原因出行违法项目开发建设廉洁协议书的渎职行为。</w:t>
            </w:r>
          </w:p>
        </w:tc>
        <w:tc>
          <w:tcPr>
            <w:tcW w:w="248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（1）出现一次，承包人须向</w:t>
            </w:r>
            <w:r>
              <w:rPr>
                <w:rFonts w:ascii="宋体" w:hAnsi="宋体" w:eastAsia="宋体" w:cs="Times New Roman"/>
                <w:szCs w:val="21"/>
              </w:rPr>
              <w:t>发包人支付</w:t>
            </w:r>
            <w:r>
              <w:rPr>
                <w:rFonts w:hint="eastAsia" w:ascii="宋体" w:hAnsi="宋体" w:eastAsia="宋体" w:cs="Times New Roman"/>
                <w:szCs w:val="21"/>
              </w:rPr>
              <w:t>违约金5000元，要求相关渎职人员；</w:t>
            </w:r>
          </w:p>
          <w:p>
            <w:pPr>
              <w:adjustRightInd w:val="0"/>
              <w:snapToGrid w:val="0"/>
              <w:jc w:val="center"/>
              <w:rPr>
                <w:rFonts w:ascii="宋体" w:hAnsi="宋体" w:eastAsia="宋体" w:cs="Times New Roman"/>
                <w:szCs w:val="21"/>
              </w:rPr>
            </w:pPr>
            <w:r>
              <w:rPr>
                <w:rFonts w:hint="eastAsia" w:ascii="宋体" w:hAnsi="宋体" w:eastAsia="宋体" w:cs="Times New Roman"/>
                <w:szCs w:val="21"/>
              </w:rPr>
              <w:t>（2）出现第二次，承包人须向</w:t>
            </w:r>
            <w:r>
              <w:rPr>
                <w:rFonts w:ascii="宋体" w:hAnsi="宋体" w:eastAsia="宋体" w:cs="Times New Roman"/>
                <w:szCs w:val="21"/>
              </w:rPr>
              <w:t>发包人支付</w:t>
            </w:r>
            <w:r>
              <w:rPr>
                <w:rFonts w:hint="eastAsia" w:ascii="宋体" w:hAnsi="宋体" w:eastAsia="宋体" w:cs="Times New Roman"/>
                <w:szCs w:val="21"/>
              </w:rPr>
              <w:t>10000元，要求更换相关渎职人员并追究承包人的项目负责人（建造师）的相应责任；</w:t>
            </w:r>
          </w:p>
          <w:p>
            <w:pPr>
              <w:adjustRightInd w:val="0"/>
              <w:snapToGrid w:val="0"/>
              <w:jc w:val="center"/>
              <w:rPr>
                <w:rFonts w:ascii="宋体" w:hAnsi="宋体" w:eastAsia="宋体" w:cs="Times New Roman"/>
                <w:szCs w:val="21"/>
              </w:rPr>
            </w:pPr>
            <w:r>
              <w:rPr>
                <w:rFonts w:hint="eastAsia" w:ascii="宋体" w:hAnsi="宋体" w:eastAsia="宋体" w:cs="Times New Roman"/>
                <w:szCs w:val="21"/>
              </w:rPr>
              <w:t>（3）出现三次以上，视为承包人重大违约，发包人有权解除本项目</w:t>
            </w:r>
            <w:r>
              <w:rPr>
                <w:rFonts w:ascii="宋体" w:hAnsi="宋体" w:eastAsia="宋体" w:cs="Times New Roman"/>
                <w:szCs w:val="21"/>
              </w:rPr>
              <w:t>总承包</w:t>
            </w:r>
            <w:r>
              <w:rPr>
                <w:rFonts w:hint="eastAsia" w:ascii="宋体" w:hAnsi="宋体" w:eastAsia="宋体" w:cs="Times New Roman"/>
                <w:szCs w:val="21"/>
              </w:rPr>
              <w:t>合同，并按合同约定追究承包人违约责任。</w:t>
            </w:r>
          </w:p>
        </w:tc>
      </w:tr>
    </w:tbl>
    <w:p>
      <w:pPr>
        <w:adjustRightInd w:val="0"/>
        <w:snapToGrid w:val="0"/>
        <w:spacing w:line="360" w:lineRule="auto"/>
        <w:ind w:left="163"/>
        <w:rPr>
          <w:rFonts w:ascii="宋体" w:hAnsi="宋体" w:eastAsia="宋体" w:cs="宋体"/>
          <w:szCs w:val="21"/>
        </w:rPr>
      </w:pPr>
    </w:p>
    <w:p>
      <w:pPr>
        <w:adjustRightInd w:val="0"/>
        <w:snapToGrid w:val="0"/>
        <w:spacing w:line="360" w:lineRule="auto"/>
        <w:ind w:left="163"/>
        <w:rPr>
          <w:rFonts w:ascii="宋体" w:hAnsi="宋体" w:eastAsia="宋体" w:cs="Times New Roman"/>
          <w:szCs w:val="21"/>
        </w:rPr>
      </w:pPr>
      <w:r>
        <w:rPr>
          <w:rFonts w:ascii="宋体" w:hAnsi="宋体" w:eastAsia="宋体" w:cs="宋体"/>
          <w:szCs w:val="21"/>
        </w:rPr>
        <w:t>4</w:t>
      </w:r>
      <w:r>
        <w:rPr>
          <w:rFonts w:hint="eastAsia" w:ascii="宋体" w:hAnsi="宋体" w:eastAsia="宋体" w:cs="宋体"/>
          <w:szCs w:val="21"/>
        </w:rPr>
        <w:t>、</w:t>
      </w:r>
      <w:r>
        <w:rPr>
          <w:rFonts w:hint="eastAsia" w:ascii="宋体" w:hAnsi="宋体" w:eastAsia="宋体" w:cs="Times New Roman"/>
          <w:szCs w:val="21"/>
        </w:rPr>
        <w:t>现场质量状态违约细则</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708"/>
        <w:gridCol w:w="993"/>
        <w:gridCol w:w="5260"/>
        <w:gridCol w:w="13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序号</w:t>
            </w:r>
          </w:p>
        </w:tc>
        <w:tc>
          <w:tcPr>
            <w:tcW w:w="1701" w:type="dxa"/>
            <w:gridSpan w:val="2"/>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检查项目</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质量状态违约行为</w:t>
            </w:r>
          </w:p>
        </w:tc>
        <w:tc>
          <w:tcPr>
            <w:tcW w:w="1332"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违约金</w:t>
            </w:r>
          </w:p>
          <w:p>
            <w:pPr>
              <w:adjustRightInd w:val="0"/>
              <w:snapToGrid w:val="0"/>
              <w:jc w:val="center"/>
              <w:rPr>
                <w:rFonts w:ascii="宋体" w:hAnsi="宋体" w:eastAsia="宋体" w:cs="Times New Roman"/>
                <w:szCs w:val="21"/>
              </w:rPr>
            </w:pPr>
            <w:r>
              <w:rPr>
                <w:rFonts w:ascii="宋体" w:hAnsi="宋体" w:eastAsia="宋体" w:cs="Times New Roman"/>
                <w:szCs w:val="21"/>
              </w:rPr>
              <w:t>(</w:t>
            </w:r>
            <w:r>
              <w:rPr>
                <w:rFonts w:hint="eastAsia" w:ascii="宋体" w:hAnsi="宋体" w:eastAsia="宋体" w:cs="Times New Roman"/>
                <w:szCs w:val="21"/>
              </w:rPr>
              <w:t>元</w:t>
            </w:r>
            <w:r>
              <w:rPr>
                <w:rFonts w:ascii="宋体" w:hAnsi="宋体" w:eastAsia="宋体" w:cs="Times New Roman"/>
                <w:szCs w:val="21"/>
              </w:rPr>
              <w:t>/</w:t>
            </w:r>
            <w:r>
              <w:rPr>
                <w:rFonts w:hint="eastAsia" w:ascii="宋体" w:hAnsi="宋体" w:eastAsia="宋体" w:cs="Times New Roman"/>
                <w:szCs w:val="21"/>
              </w:rPr>
              <w:t>条</w:t>
            </w:r>
            <w:r>
              <w:rPr>
                <w:rFonts w:ascii="宋体" w:hAnsi="宋体" w:eastAsia="宋体" w:cs="Times New Roman"/>
                <w:szCs w:val="21"/>
              </w:rPr>
              <w:t>.</w:t>
            </w:r>
            <w:r>
              <w:rPr>
                <w:rFonts w:hint="eastAsia" w:ascii="宋体" w:hAnsi="宋体" w:eastAsia="宋体" w:cs="Times New Roman"/>
                <w:szCs w:val="21"/>
              </w:rPr>
              <w:t>人</w:t>
            </w:r>
            <w:r>
              <w:rPr>
                <w:rFonts w:ascii="宋体" w:hAnsi="宋体" w:eastAsia="宋体" w:cs="Times New Roman"/>
                <w:szCs w:val="21"/>
              </w:rPr>
              <w:t>.</w:t>
            </w:r>
            <w:r>
              <w:rPr>
                <w:rFonts w:hint="eastAsia" w:ascii="宋体" w:hAnsi="宋体" w:eastAsia="宋体" w:cs="Times New Roman"/>
                <w:szCs w:val="21"/>
              </w:rPr>
              <w:t>处</w:t>
            </w:r>
            <w:r>
              <w:rPr>
                <w:rFonts w:ascii="宋体" w:hAnsi="宋体" w:eastAsia="宋体" w:cs="Times New Roman"/>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地基与基础</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土方</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土方开挖后基槽尺寸、标高、放坡系数不符合图纸设计及规范要求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土方回填前未对基底进行清理及压实</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土方未分层回填</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基坑内未设置排水沟、排水不通畅</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桩基、地基处理</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存在漏桩、少桩现象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桩位、垂直度偏差不符合规范要求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静压桩焊接质量不符合规范要求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静压桩成桩压力、标高未达到设计要求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混凝土灌注桩、人工挖孔桩钢筋笼焊接质量不符合要求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混凝土灌注桩施工不符合要求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CFG</w:t>
            </w:r>
            <w:r>
              <w:rPr>
                <w:rFonts w:hint="eastAsia" w:ascii="宋体" w:hAnsi="宋体" w:eastAsia="宋体" w:cs="Times New Roman"/>
                <w:szCs w:val="21"/>
              </w:rPr>
              <w:t>桩砼浇筑时桩头提升量和砼浇筑量不一致</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地下防水</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基础防水细部构造不符合要求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橡胶止水带或钢板止水带设置不符合要求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主体结构</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模板</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模板内积水、垃圾、杂物未清理完毕</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模板未涂刷脱模剂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模板截面尺寸不符合设计要求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未达拆模强度擅自拆模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模板存在破损、拼缝不严的现象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现场使用的钢筋品牌、规格、型号与招标文件、国家标准及设计要求不符</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钢筋下料长度与规范及设计要求不符</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钢筋连接不符合规范标准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钢筋安装与规范图集及设计要求不符</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混凝土</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施工缝留置位置不符合规范要求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砼浇筑完毕后未进行有效养护</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现浇结构</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受力构件存在胀、缩模、蜂窝、麻面、孔洞、露筋、裂缝等缺陷</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抗渗混凝土存在渗漏现象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现浇结构尺寸偏差不符合规范要求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混凝土保护层厚度不符合规范要求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砌体结构</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砌体结构原材及相关材料不符合要求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砌筑现场未使用预拌砂浆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墙体砌筑施工方法及相关构造要求不符合规范及设计要求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砌体一般尺寸偏差不符合规范及设计要求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钢结构</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钢结构焊接及连接不符合规范及设计要求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钢零件及钢部件加工不符合规范及设计要求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钢构件组装、预拼装不符合规范及设计要求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钢结构涂装工程不符合规范及设计要求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3</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建筑装饰</w:t>
            </w:r>
          </w:p>
          <w:p>
            <w:pPr>
              <w:adjustRightInd w:val="0"/>
              <w:snapToGrid w:val="0"/>
              <w:jc w:val="center"/>
              <w:rPr>
                <w:rFonts w:ascii="宋体" w:hAnsi="宋体" w:eastAsia="宋体" w:cs="Times New Roman"/>
                <w:szCs w:val="21"/>
              </w:rPr>
            </w:pPr>
            <w:r>
              <w:rPr>
                <w:rFonts w:hint="eastAsia" w:ascii="宋体" w:hAnsi="宋体" w:eastAsia="宋体" w:cs="Times New Roman"/>
                <w:szCs w:val="21"/>
              </w:rPr>
              <w:t>装修</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地面、墙面</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地面、墙面面层与基层粘结不牢固，存在空鼓面积超过规范要求的现象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地面、墙面存在开裂、渗水、起砂等现象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抹灰</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不同材料交界面抹灰时未张贴加强网，加强网搭接及宽度不符合规范要求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抹灰表面允许偏差超出规范要求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分格缝设置不符合规范要求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有排水要求的部位未按规范及设计要求设置滴水（槽）</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各抹灰层之间及抹灰层与基底之间存在脱层、空鼓、裂缝、色差等现象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门窗</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门窗洞口预留尺寸不符合图纸设计及规范要求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门窗安装施工顺序及安装方法不符合规范要求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门窗与墙体间隙之间未填嵌密实，塑料门窗填缝未采用密闭胶封闭</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玻璃安装方法不符合设计及规范要求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门窗淋水试验不满足规范要求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特种门的安装方法不符合规范及设计要求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吊顶</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吊顶及相关构配件不符合规范及设计要求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吊杆、龙骨的材质、规格、安装间距及连接方式不符合相关规范及设计要求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吊顶工程中相关构配件未按照规范及设计要求进行防火、防腐、防锈处理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饰面板（砖）</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饰面板（砖）的规格、颜色和性能不符合规范及设计要求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饰面板安装工程的预埋件、连接件的数量、规格、位置、连接方法、防腐处理不符合设计及规范要求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饰面板（砖）安装不牢固、存在空鼓面积超出规范要求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饰面板（砖）表面存在色差、裂缝</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有排水要求的部位未设置滴水线（槽），泛水坡度不符合设计要求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幕墙所使用的各种材料、配件不满足国家标准规范及设计要求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未对后置预埋件的拉拔强度进行检测</w:t>
            </w:r>
            <w:r>
              <w:rPr>
                <w:rFonts w:ascii="宋体" w:hAnsi="宋体" w:eastAsia="宋体" w:cs="Times New Roman"/>
                <w:szCs w:val="21"/>
              </w:rPr>
              <w:t>,</w:t>
            </w:r>
            <w:r>
              <w:rPr>
                <w:rFonts w:hint="eastAsia" w:ascii="宋体" w:hAnsi="宋体" w:eastAsia="宋体" w:cs="Times New Roman"/>
                <w:szCs w:val="21"/>
              </w:rPr>
              <w:t>检测不合格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立杆及主要受力构件材料壁厚、规格、颜色和性能不符合设计要求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幕墙制作安装不符合设计及规范要求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幕墙连接预埋件数量、规格、位置、防腐处理不符合设计及规范要求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各种受力构件之间的连接不符合设计及规范要求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所使用的结构密封材料不符合要求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幕墙表面平整度、色差、划伤范围不符合设计及规范要求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涂饰</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进行涂饰前未涂刷抗碱封闭底漆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基层腻子存在不平整、风化、起皮、脱落等现象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厨房、卫生间墙面未使用耐水腻子</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涂料面层有风化、脱落、裂缝、色差等现象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4</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建筑屋面</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找平层</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找平层所使用的材料不满足规范及设计要求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找平层尺寸不满足设计及规范要求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找平层施工细部构造不符合规范要求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找平层分格缝设置不满足规范及设计要求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卷材防水层</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卷材防水材料不满足规范及设计要求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卷材铺设前未进行基面处理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基层界面剂涂刷不均匀</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卷材铺贴方向、施工方法不符合规范要求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卷材层存在空鼓、开裂、脱落等现象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屋面淋水或蓄水试验不满足要求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天沟、檐沟、檐口等细部未按规范施工</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女儿墙高度、透气管安装高度不符合规范及设计要求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涂膜防水层</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涂膜防水材料不满足国家标准规范及设计要求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涂膜防水层有渗漏或积水现象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涂膜防水层在天沟、阴阳角等细部构造不符合规范及设计要求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涂膜防水层厚度不符合设计要求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安装工程</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建筑给水、排水</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给水管道原材及配件与招标文件及设计要求不相符</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室内给水管道试压不符合规范及设计要求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给水管道安装与连接不符合规范及设计要求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隐蔽或埋地排水管道未在隐蔽前做灌水试验</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排水塑料管道在楼板下未设防火圈或防火套管</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消防水管保温施工不符合规范及设计要求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自动喷水灭火系统安装不符合规范及设计要求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消防给水池、消防水箱、消防水泵等防火设备安装不符合规范及设计要求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室内消火栓系统及相关构件安装不符合规范及设计要求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气体灭火系统及配件安装不满足规范及设计要求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通风与空调</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风管原材及配件不满足规范及设计要求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防火风管的本体、框架与固定材料、密封垫料不是不燃材料</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风管制作、安装不符合设计及规范要求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镀锌钢板及各类有保护层的钢板、法兰连接方法不符合规范要求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防火卷帘安装不符合规范及设计要求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通风设备安装不符合规范及设计要求，通风系统试验不符合规范及设计要求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建筑电气</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主要设备、材料、成品及半成品与招标文件和设计要求不相符</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电缆、电线穿管的安装不符合规范及设计要求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电气设备安装不符合规范及设计要求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接地线互相连接方式不符合规范及设计要求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金属电缆桥架、线槽等部位未进行接地连接</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电缆桥架安装、铺设不符合要求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穿越不同防火分区的桥架未进行防火分隔</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室外埋地电缆导管埋深不符合规范及设计要求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插座接线、安装高度不符合要求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插座不符合规范及设计要求、盖板固定不牢固</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电线未按规范要求进行复试合格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避雷装置不满足要求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火灾自动报警系统及相关配件安装不符合规范及设计要求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火灾应急照明灯安装不符合规范及设计要求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照明开关安装位置不符合规范及设计要求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人防工程中所涉及的密闭穿墙短管的制作及安装不符合规范及设计要求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电气系统试验不符合规范及设计要求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卫生器具安装</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卫生器具及配件不符合规范及设计要求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卫生器具安装不符合规范及设计标准</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与排水横管连接的各卫生器具的受水口和立管未采取可靠的固定措施</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管道与楼板的结合部位有渗漏</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6</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墙体、屋面、门窗、地面节能工程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建筑节能工程施工前未进行样板制作、样板未验收</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建筑节能材料不符合规范及设计要求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保温材料的厚度不符合设计要求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建筑节能施工方法不满足规范就设计要求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建筑节能材料采用预埋或后置锚固件固定时，不符合规范及设计要求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建筑节能的板缝处理、构造节点及嵌缝做法等细部构造不符合设计及规范要求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热桥部位未按设计要求采取隔断热桥措施</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消防水管保温施工不符合规范及设计要求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表层砂浆抹压不密实</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幕墙节能工程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建筑节能工程的饰面层渗漏</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幕墙节能材料及相关构配件不符合设计及规范要求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幕墙节能工程使用的保温材料厚度不符合规范及设计要求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保温材料在安装过程中未按照规范及设计要求采取防潮、防水等保护措施</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幕墙工程热桥部位的隔断热桥措施不符合规范及设计要求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伸缩缝、沉降缝、抗震缝的保温或密封做法不符合规范及设计要求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保温层所使用的材料不符合设计及规范要求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建筑节能工程的饰面层渗漏</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restart"/>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7</w:t>
            </w:r>
          </w:p>
        </w:tc>
        <w:tc>
          <w:tcPr>
            <w:tcW w:w="708"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室外工程</w:t>
            </w: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照明工程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灯杆灯具原材及半成品未履行进场报验程序</w:t>
            </w:r>
            <w:r>
              <w:rPr>
                <w:rFonts w:ascii="宋体" w:hAnsi="宋体" w:eastAsia="宋体" w:cs="Times New Roman"/>
                <w:szCs w:val="21"/>
              </w:rPr>
              <w:t>,</w:t>
            </w:r>
            <w:r>
              <w:rPr>
                <w:rFonts w:hint="eastAsia" w:ascii="宋体" w:hAnsi="宋体" w:eastAsia="宋体" w:cs="Times New Roman"/>
                <w:szCs w:val="21"/>
              </w:rPr>
              <w:t>验收不合格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路灯杆件基础施工不符合设计要求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路灯管道埋深不符合设计要求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路灯管道、电缆材质或规格不符合设计要求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路灯杆件材质、壁厚、防腐不符合设计要求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路灯灯具材质、规格不符合设计要求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路灯杆件安装不符合设计或规范要求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路灯配电柜材料、安装不符合设计要求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交通工程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杆件原材及半成品未履行进场报验程序，并验收合格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标志标牌基础施工不符合设计要求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热熔材料、玻璃珠、掺加料不符合设计或规范要求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标线厚度、尺寸不符合设计（规范）要求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标志标牌几何尺寸、杆件及标牌面壁厚不符合要求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标志标牌反光材料不符合规范要求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标志标牌安装（含位置）不符合要求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护栏材质、规格不符合设计要求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底座尺寸、重量不符合要求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信号监控</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管道、杆件、信号机、电缆线、摄像设备等各类器材不符合设计要求，不履行进场报验程序，并验收合格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管井砌筑、杆件基础、线圈施工不符合设计要求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监控管道埋深不符合设计（或规范）要求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系统功能软件不符合设计要求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人行道、侧石等</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原材料未履行进场报验程序，并验收合格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人行道施工质量不符合设计要求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侧石安装施工质量不符合设计要求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浆砌护坡、挡墙</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原材料未履行进场报验程序，并验收合格</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地基承载力、标高不符合设计及规范要求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砌筑工艺不符合规范要求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实体几何尺寸不符合设计要求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预埋件未按设计要求设置</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变形缝设置不否符合设计与规范要求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养护不及时、到位</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restart"/>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供水工程</w:t>
            </w: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沟槽尺寸、基础垫层不符合要求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管道及构配件不符合采购要求</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pPr>
              <w:adjustRightInd w:val="0"/>
              <w:snapToGrid w:val="0"/>
              <w:jc w:val="center"/>
              <w:rPr>
                <w:rFonts w:ascii="宋体" w:hAnsi="宋体" w:eastAsia="宋体" w:cs="Times New Roman"/>
                <w:szCs w:val="21"/>
              </w:rPr>
            </w:pPr>
          </w:p>
        </w:tc>
        <w:tc>
          <w:tcPr>
            <w:tcW w:w="708" w:type="dxa"/>
            <w:vMerge w:val="continue"/>
            <w:vAlign w:val="center"/>
          </w:tcPr>
          <w:p>
            <w:pPr>
              <w:adjustRightInd w:val="0"/>
              <w:snapToGrid w:val="0"/>
              <w:jc w:val="center"/>
              <w:rPr>
                <w:rFonts w:ascii="宋体" w:hAnsi="宋体" w:eastAsia="宋体" w:cs="Times New Roman"/>
                <w:szCs w:val="21"/>
              </w:rPr>
            </w:pPr>
          </w:p>
        </w:tc>
        <w:tc>
          <w:tcPr>
            <w:tcW w:w="993" w:type="dxa"/>
            <w:vMerge w:val="continue"/>
            <w:vAlign w:val="center"/>
          </w:tcPr>
          <w:p>
            <w:pPr>
              <w:adjustRightInd w:val="0"/>
              <w:snapToGrid w:val="0"/>
              <w:jc w:val="center"/>
              <w:rPr>
                <w:rFonts w:ascii="宋体" w:hAnsi="宋体" w:eastAsia="宋体" w:cs="Times New Roman"/>
                <w:szCs w:val="21"/>
              </w:rPr>
            </w:pPr>
          </w:p>
        </w:tc>
        <w:tc>
          <w:tcPr>
            <w:tcW w:w="5260" w:type="dxa"/>
            <w:vAlign w:val="center"/>
          </w:tcPr>
          <w:p>
            <w:pPr>
              <w:adjustRightInd w:val="0"/>
              <w:snapToGrid w:val="0"/>
              <w:jc w:val="center"/>
              <w:rPr>
                <w:rFonts w:ascii="宋体" w:hAnsi="宋体" w:eastAsia="宋体" w:cs="Times New Roman"/>
                <w:szCs w:val="21"/>
              </w:rPr>
            </w:pPr>
            <w:r>
              <w:rPr>
                <w:rFonts w:hint="eastAsia" w:ascii="宋体" w:hAnsi="宋体" w:eastAsia="宋体" w:cs="Times New Roman"/>
                <w:szCs w:val="21"/>
              </w:rPr>
              <w:t>检查井砌筑不按规范施工</w:t>
            </w:r>
          </w:p>
        </w:tc>
        <w:tc>
          <w:tcPr>
            <w:tcW w:w="1332" w:type="dxa"/>
            <w:vAlign w:val="center"/>
          </w:tcPr>
          <w:p>
            <w:pPr>
              <w:adjustRightInd w:val="0"/>
              <w:snapToGrid w:val="0"/>
              <w:jc w:val="center"/>
              <w:rPr>
                <w:rFonts w:ascii="宋体" w:hAnsi="宋体" w:eastAsia="宋体" w:cs="Times New Roman"/>
                <w:szCs w:val="21"/>
              </w:rPr>
            </w:pPr>
            <w:r>
              <w:rPr>
                <w:rFonts w:ascii="宋体" w:hAnsi="宋体" w:eastAsia="宋体" w:cs="Times New Roman"/>
                <w:szCs w:val="21"/>
              </w:rPr>
              <w:t>5000</w:t>
            </w:r>
          </w:p>
        </w:tc>
      </w:tr>
    </w:tbl>
    <w:p>
      <w:pPr>
        <w:adjustRightInd w:val="0"/>
        <w:snapToGrid w:val="0"/>
        <w:spacing w:line="360" w:lineRule="auto"/>
        <w:ind w:left="163"/>
        <w:rPr>
          <w:rFonts w:ascii="宋体" w:hAnsi="宋体" w:eastAsia="宋体" w:cs="宋体"/>
          <w:szCs w:val="21"/>
        </w:rPr>
      </w:pPr>
    </w:p>
    <w:p>
      <w:pPr>
        <w:widowControl/>
        <w:spacing w:line="360" w:lineRule="auto"/>
        <w:rPr>
          <w:rFonts w:ascii="宋体" w:hAnsi="宋体" w:eastAsia="宋体" w:cs="宋体"/>
          <w:szCs w:val="21"/>
        </w:rPr>
      </w:pPr>
      <w:r>
        <w:rPr>
          <w:rFonts w:ascii="宋体" w:hAnsi="宋体" w:eastAsia="宋体" w:cs="宋体"/>
          <w:szCs w:val="21"/>
        </w:rPr>
        <w:t>5</w:t>
      </w:r>
      <w:r>
        <w:rPr>
          <w:rFonts w:hint="eastAsia" w:ascii="宋体" w:hAnsi="宋体" w:eastAsia="宋体" w:cs="宋体"/>
          <w:szCs w:val="21"/>
        </w:rPr>
        <w:t>、材料使用违约细则</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022"/>
        <w:gridCol w:w="4902"/>
        <w:gridCol w:w="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5" w:type="dxa"/>
            <w:gridSpan w:val="2"/>
            <w:tcBorders>
              <w:bottom w:val="single" w:color="auto" w:sz="4" w:space="0"/>
            </w:tcBorders>
            <w:shd w:val="clear" w:color="000000" w:fill="auto"/>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材料使用违约分类</w:t>
            </w:r>
          </w:p>
        </w:tc>
        <w:tc>
          <w:tcPr>
            <w:tcW w:w="4941" w:type="dxa"/>
            <w:gridSpan w:val="2"/>
            <w:shd w:val="clear" w:color="000000"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违约金额度</w:t>
            </w:r>
            <w:r>
              <w:rPr>
                <w:rFonts w:ascii="宋体" w:hAnsi="宋体" w:eastAsia="宋体" w:cs="宋体"/>
                <w:kern w:val="0"/>
                <w:szCs w:val="21"/>
              </w:rPr>
              <w:t>及违约责任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影响/后果</w:t>
            </w: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状态</w:t>
            </w:r>
          </w:p>
        </w:tc>
        <w:tc>
          <w:tcPr>
            <w:tcW w:w="4902" w:type="dxa"/>
            <w:vAlign w:val="center"/>
          </w:tcPr>
          <w:p>
            <w:pPr>
              <w:adjustRightInd w:val="0"/>
              <w:snapToGrid w:val="0"/>
              <w:ind w:firstLine="105"/>
              <w:jc w:val="center"/>
              <w:rPr>
                <w:rFonts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restart"/>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品牌档次下降</w:t>
            </w: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已到场，未安装</w:t>
            </w:r>
          </w:p>
        </w:tc>
        <w:tc>
          <w:tcPr>
            <w:tcW w:w="4902" w:type="dxa"/>
            <w:vAlign w:val="center"/>
          </w:tcPr>
          <w:p>
            <w:pPr>
              <w:adjustRightInd w:val="0"/>
              <w:snapToGrid w:val="0"/>
              <w:ind w:firstLine="105"/>
              <w:jc w:val="left"/>
              <w:rPr>
                <w:rFonts w:ascii="宋体" w:hAnsi="宋体" w:eastAsia="宋体" w:cs="宋体"/>
                <w:kern w:val="0"/>
                <w:szCs w:val="21"/>
              </w:rPr>
            </w:pPr>
            <w:r>
              <w:rPr>
                <w:rFonts w:hint="eastAsia" w:ascii="宋体" w:hAnsi="宋体" w:eastAsia="宋体" w:cs="宋体"/>
                <w:kern w:val="0"/>
                <w:szCs w:val="21"/>
              </w:rPr>
              <w:t>材料退场，同时</w:t>
            </w:r>
            <w:r>
              <w:rPr>
                <w:rFonts w:ascii="宋体" w:hAnsi="宋体" w:eastAsia="宋体" w:cs="宋体"/>
                <w:kern w:val="0"/>
                <w:szCs w:val="21"/>
              </w:rPr>
              <w:t>承包人须向发包人支付</w:t>
            </w:r>
            <w:r>
              <w:rPr>
                <w:rFonts w:hint="eastAsia" w:ascii="宋体" w:hAnsi="宋体" w:eastAsia="宋体" w:cs="宋体"/>
                <w:kern w:val="0"/>
                <w:szCs w:val="21"/>
              </w:rPr>
              <w:t>违约金2～10万/次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continue"/>
            <w:vAlign w:val="center"/>
          </w:tcPr>
          <w:p>
            <w:pPr>
              <w:adjustRightInd w:val="0"/>
              <w:snapToGrid w:val="0"/>
              <w:ind w:firstLine="105"/>
              <w:jc w:val="center"/>
              <w:rPr>
                <w:rFonts w:ascii="宋体" w:hAnsi="宋体" w:eastAsia="宋体" w:cs="宋体"/>
                <w:kern w:val="0"/>
                <w:szCs w:val="21"/>
              </w:rPr>
            </w:pP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已使用，无法拆除</w:t>
            </w:r>
          </w:p>
        </w:tc>
        <w:tc>
          <w:tcPr>
            <w:tcW w:w="490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补救确保合格，赔偿损失，并处罚金额：5～20万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restart"/>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材料、设备相关技术参数（如厚度、等级等）低于合同约定</w:t>
            </w: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已到场，未安装</w:t>
            </w:r>
          </w:p>
        </w:tc>
        <w:tc>
          <w:tcPr>
            <w:tcW w:w="4902" w:type="dxa"/>
            <w:vAlign w:val="center"/>
          </w:tcPr>
          <w:p>
            <w:pPr>
              <w:adjustRightInd w:val="0"/>
              <w:snapToGrid w:val="0"/>
              <w:ind w:firstLine="105"/>
              <w:jc w:val="left"/>
              <w:rPr>
                <w:rFonts w:ascii="宋体" w:hAnsi="宋体" w:eastAsia="宋体" w:cs="宋体"/>
                <w:kern w:val="0"/>
                <w:szCs w:val="21"/>
              </w:rPr>
            </w:pPr>
            <w:r>
              <w:rPr>
                <w:rFonts w:hint="eastAsia" w:ascii="宋体" w:hAnsi="宋体" w:eastAsia="宋体" w:cs="宋体"/>
                <w:kern w:val="0"/>
                <w:szCs w:val="21"/>
              </w:rPr>
              <w:t>材料退场，处罚金额：5～10万/次。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continue"/>
            <w:vAlign w:val="center"/>
          </w:tcPr>
          <w:p>
            <w:pPr>
              <w:adjustRightInd w:val="0"/>
              <w:snapToGrid w:val="0"/>
              <w:ind w:firstLine="105"/>
              <w:jc w:val="center"/>
              <w:rPr>
                <w:rFonts w:ascii="宋体" w:hAnsi="宋体" w:eastAsia="宋体" w:cs="宋体"/>
                <w:kern w:val="0"/>
                <w:szCs w:val="21"/>
              </w:rPr>
            </w:pP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已使用，无法拆除</w:t>
            </w:r>
          </w:p>
        </w:tc>
        <w:tc>
          <w:tcPr>
            <w:tcW w:w="490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补救确保合格，赔偿损失，并处罚金额：5～20万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restart"/>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设置虚假标识等欺诈行为</w:t>
            </w: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已到场，未安装</w:t>
            </w:r>
          </w:p>
        </w:tc>
        <w:tc>
          <w:tcPr>
            <w:tcW w:w="4902" w:type="dxa"/>
            <w:vAlign w:val="center"/>
          </w:tcPr>
          <w:p>
            <w:pPr>
              <w:adjustRightInd w:val="0"/>
              <w:snapToGrid w:val="0"/>
              <w:ind w:firstLine="105"/>
              <w:jc w:val="left"/>
              <w:rPr>
                <w:rFonts w:ascii="宋体" w:hAnsi="宋体" w:eastAsia="宋体" w:cs="宋体"/>
                <w:kern w:val="0"/>
                <w:szCs w:val="21"/>
              </w:rPr>
            </w:pPr>
            <w:r>
              <w:rPr>
                <w:rFonts w:hint="eastAsia" w:ascii="宋体" w:hAnsi="宋体" w:eastAsia="宋体" w:cs="宋体"/>
                <w:kern w:val="0"/>
                <w:szCs w:val="21"/>
              </w:rPr>
              <w:t>材料退场，处罚金额：10～30万/次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4" w:hRule="atLeast"/>
          <w:jc w:val="center"/>
        </w:trPr>
        <w:tc>
          <w:tcPr>
            <w:tcW w:w="1843" w:type="dxa"/>
            <w:vMerge w:val="continue"/>
            <w:vAlign w:val="center"/>
          </w:tcPr>
          <w:p>
            <w:pPr>
              <w:adjustRightInd w:val="0"/>
              <w:snapToGrid w:val="0"/>
              <w:ind w:firstLine="105"/>
              <w:jc w:val="center"/>
              <w:rPr>
                <w:rFonts w:ascii="宋体" w:hAnsi="宋体" w:eastAsia="宋体" w:cs="宋体"/>
                <w:kern w:val="0"/>
                <w:szCs w:val="21"/>
              </w:rPr>
            </w:pPr>
          </w:p>
        </w:tc>
        <w:tc>
          <w:tcPr>
            <w:tcW w:w="202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已使用，无法拆除</w:t>
            </w:r>
          </w:p>
        </w:tc>
        <w:tc>
          <w:tcPr>
            <w:tcW w:w="4902" w:type="dxa"/>
            <w:vAlign w:val="center"/>
          </w:tcPr>
          <w:p>
            <w:pPr>
              <w:adjustRightInd w:val="0"/>
              <w:snapToGrid w:val="0"/>
              <w:ind w:firstLine="105"/>
              <w:jc w:val="center"/>
              <w:rPr>
                <w:rFonts w:ascii="宋体" w:hAnsi="宋体" w:eastAsia="宋体" w:cs="宋体"/>
                <w:kern w:val="0"/>
                <w:szCs w:val="21"/>
              </w:rPr>
            </w:pPr>
            <w:r>
              <w:rPr>
                <w:rFonts w:hint="eastAsia" w:ascii="宋体" w:hAnsi="宋体" w:eastAsia="宋体" w:cs="宋体"/>
                <w:kern w:val="0"/>
                <w:szCs w:val="21"/>
              </w:rPr>
              <w:t>补救确保合格，赔偿损失，并处罚金额：10～40万</w:t>
            </w:r>
          </w:p>
        </w:tc>
      </w:tr>
    </w:tbl>
    <w:p>
      <w:pPr>
        <w:widowControl/>
        <w:spacing w:line="360" w:lineRule="auto"/>
        <w:rPr>
          <w:rFonts w:hint="eastAsia" w:ascii="宋体" w:hAnsi="宋体" w:eastAsia="宋体" w:cs="宋体"/>
          <w:szCs w:val="21"/>
        </w:rPr>
      </w:pPr>
    </w:p>
    <w:p>
      <w:pPr>
        <w:widowControl/>
        <w:spacing w:line="360" w:lineRule="auto"/>
        <w:rPr>
          <w:rFonts w:ascii="宋体" w:hAnsi="宋体" w:eastAsia="宋体" w:cs="宋体"/>
          <w:szCs w:val="21"/>
        </w:rPr>
      </w:pPr>
      <w:r>
        <w:rPr>
          <w:rFonts w:ascii="宋体" w:hAnsi="宋体" w:eastAsia="宋体" w:cs="宋体"/>
          <w:szCs w:val="21"/>
        </w:rPr>
        <w:t>6</w:t>
      </w:r>
      <w:r>
        <w:rPr>
          <w:rFonts w:hint="eastAsia" w:ascii="宋体" w:hAnsi="宋体" w:eastAsia="宋体" w:cs="宋体"/>
          <w:szCs w:val="21"/>
        </w:rPr>
        <w:t>、工程资料管理违约细则</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637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序号</w:t>
            </w:r>
          </w:p>
        </w:tc>
        <w:tc>
          <w:tcPr>
            <w:tcW w:w="637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违约条款</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违约金额度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1</w:t>
            </w:r>
          </w:p>
        </w:tc>
        <w:tc>
          <w:tcPr>
            <w:tcW w:w="6379"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对发包人发出的整改通知单未及时整改或整改不力且未回复。</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500～3000元/次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2</w:t>
            </w:r>
          </w:p>
        </w:tc>
        <w:tc>
          <w:tcPr>
            <w:tcW w:w="6379" w:type="dxa"/>
            <w:tcBorders>
              <w:top w:val="nil"/>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未按要求及时提交施工管理和技术资料。</w:t>
            </w:r>
          </w:p>
        </w:tc>
        <w:tc>
          <w:tcPr>
            <w:tcW w:w="1843"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500无/次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3</w:t>
            </w:r>
          </w:p>
        </w:tc>
        <w:tc>
          <w:tcPr>
            <w:tcW w:w="6379" w:type="dxa"/>
            <w:tcBorders>
              <w:top w:val="nil"/>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经检查，工程档案资料未能随工程施工进度同步收集整理，且拒不整改或整改不合格。</w:t>
            </w:r>
          </w:p>
        </w:tc>
        <w:tc>
          <w:tcPr>
            <w:tcW w:w="1843"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1000元/次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4</w:t>
            </w:r>
          </w:p>
        </w:tc>
        <w:tc>
          <w:tcPr>
            <w:tcW w:w="6379" w:type="dxa"/>
            <w:tcBorders>
              <w:top w:val="nil"/>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归档的技术质保资料不真实，不准确。</w:t>
            </w:r>
          </w:p>
        </w:tc>
        <w:tc>
          <w:tcPr>
            <w:tcW w:w="1843"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500～2000元/次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5</w:t>
            </w:r>
          </w:p>
        </w:tc>
        <w:tc>
          <w:tcPr>
            <w:tcW w:w="6379" w:type="dxa"/>
            <w:tcBorders>
              <w:top w:val="nil"/>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拒收发包人文件（信函、指示、会议纪要、质量/安全/进度整改通知单及违约处罚单）。</w:t>
            </w:r>
          </w:p>
        </w:tc>
        <w:tc>
          <w:tcPr>
            <w:tcW w:w="1843"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2000元/次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709"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6</w:t>
            </w:r>
          </w:p>
        </w:tc>
        <w:tc>
          <w:tcPr>
            <w:tcW w:w="6379" w:type="dxa"/>
            <w:tcBorders>
              <w:top w:val="nil"/>
              <w:left w:val="single" w:color="auto" w:sz="4" w:space="0"/>
              <w:bottom w:val="single" w:color="auto" w:sz="4" w:space="0"/>
              <w:right w:val="single" w:color="auto" w:sz="4" w:space="0"/>
            </w:tcBorders>
          </w:tcPr>
          <w:p>
            <w:pPr>
              <w:adjustRightInd w:val="0"/>
              <w:snapToGrid w:val="0"/>
              <w:jc w:val="center"/>
              <w:rPr>
                <w:rFonts w:ascii="宋体" w:hAnsi="宋体" w:eastAsia="宋体" w:cs="宋体"/>
                <w:szCs w:val="21"/>
              </w:rPr>
            </w:pPr>
            <w:r>
              <w:rPr>
                <w:rFonts w:hint="eastAsia" w:ascii="宋体" w:hAnsi="宋体" w:eastAsia="宋体" w:cs="宋体"/>
                <w:szCs w:val="21"/>
              </w:rPr>
              <w:t>单位工程竣工后，承包人未将竣工备案资料按时移交至市城建档案馆的。</w:t>
            </w:r>
          </w:p>
        </w:tc>
        <w:tc>
          <w:tcPr>
            <w:tcW w:w="1843" w:type="dxa"/>
            <w:tcBorders>
              <w:top w:val="nil"/>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宋体"/>
                <w:szCs w:val="21"/>
              </w:rPr>
            </w:pPr>
            <w:r>
              <w:rPr>
                <w:rFonts w:hint="eastAsia" w:ascii="宋体" w:hAnsi="宋体" w:eastAsia="宋体" w:cs="宋体"/>
                <w:szCs w:val="21"/>
              </w:rPr>
              <w:t>1000元/单位工程·天</w:t>
            </w:r>
          </w:p>
        </w:tc>
      </w:tr>
    </w:tbl>
    <w:p>
      <w:pPr>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009EA"/>
    <w:multiLevelType w:val="multilevel"/>
    <w:tmpl w:val="216009E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379"/>
    <w:rsid w:val="0041590D"/>
    <w:rsid w:val="005F7830"/>
    <w:rsid w:val="006A0BA8"/>
    <w:rsid w:val="00B61195"/>
    <w:rsid w:val="00F53379"/>
    <w:rsid w:val="2A9B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9"/>
    <w:qFormat/>
    <w:uiPriority w:val="0"/>
    <w:pPr>
      <w:keepNext/>
      <w:keepLines/>
      <w:spacing w:line="360" w:lineRule="auto"/>
      <w:outlineLvl w:val="0"/>
    </w:pPr>
    <w:rPr>
      <w:rFonts w:ascii="Times New Roman" w:hAnsi="Times New Roman" w:eastAsia="宋体" w:cs="Times New Roman"/>
      <w:b/>
      <w:bCs/>
      <w:kern w:val="44"/>
      <w:sz w:val="32"/>
      <w:szCs w:val="44"/>
    </w:rPr>
  </w:style>
  <w:style w:type="paragraph" w:styleId="3">
    <w:name w:val="heading 2"/>
    <w:basedOn w:val="1"/>
    <w:next w:val="1"/>
    <w:link w:val="30"/>
    <w:qFormat/>
    <w:uiPriority w:val="9"/>
    <w:pPr>
      <w:keepNext/>
      <w:keepLines/>
      <w:spacing w:before="260" w:after="260" w:line="416" w:lineRule="auto"/>
      <w:jc w:val="center"/>
      <w:outlineLvl w:val="1"/>
    </w:pPr>
    <w:rPr>
      <w:rFonts w:ascii="Arial" w:hAnsi="Arial" w:eastAsia="黑体" w:cs="Times New Roman"/>
      <w:b/>
      <w:bCs/>
      <w:sz w:val="32"/>
      <w:szCs w:val="32"/>
    </w:rPr>
  </w:style>
  <w:style w:type="paragraph" w:styleId="4">
    <w:name w:val="heading 3"/>
    <w:basedOn w:val="1"/>
    <w:next w:val="1"/>
    <w:link w:val="31"/>
    <w:qFormat/>
    <w:uiPriority w:val="0"/>
    <w:pPr>
      <w:keepNext/>
      <w:keepLines/>
      <w:spacing w:line="360" w:lineRule="auto"/>
      <w:outlineLvl w:val="2"/>
    </w:pPr>
    <w:rPr>
      <w:rFonts w:ascii="Times New Roman" w:hAnsi="Times New Roman" w:eastAsia="宋体" w:cs="Times New Roman"/>
      <w:b/>
      <w:bCs/>
      <w:sz w:val="24"/>
      <w:szCs w:val="32"/>
    </w:rPr>
  </w:style>
  <w:style w:type="paragraph" w:styleId="5">
    <w:name w:val="heading 4"/>
    <w:basedOn w:val="1"/>
    <w:next w:val="1"/>
    <w:link w:val="32"/>
    <w:qFormat/>
    <w:uiPriority w:val="0"/>
    <w:pPr>
      <w:keepNext/>
      <w:keepLines/>
      <w:spacing w:line="360" w:lineRule="auto"/>
      <w:outlineLvl w:val="3"/>
    </w:pPr>
    <w:rPr>
      <w:rFonts w:ascii="Arial" w:hAnsi="Arial" w:eastAsia="宋体" w:cs="Times New Roman"/>
      <w:b/>
      <w:bCs/>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ind w:firstLine="420" w:firstLineChars="200"/>
      <w:jc w:val="left"/>
    </w:pPr>
    <w:rPr>
      <w:rFonts w:ascii="Times New Roman" w:hAnsi="Times New Roman" w:eastAsia="宋体" w:cs="Times New Roman"/>
      <w:kern w:val="0"/>
      <w:sz w:val="20"/>
      <w:szCs w:val="20"/>
    </w:rPr>
  </w:style>
  <w:style w:type="paragraph" w:styleId="7">
    <w:name w:val="toa heading"/>
    <w:basedOn w:val="1"/>
    <w:next w:val="1"/>
    <w:qFormat/>
    <w:uiPriority w:val="0"/>
    <w:pPr>
      <w:autoSpaceDE w:val="0"/>
      <w:autoSpaceDN w:val="0"/>
      <w:adjustRightInd w:val="0"/>
      <w:snapToGrid w:val="0"/>
      <w:spacing w:before="120" w:line="360" w:lineRule="auto"/>
    </w:pPr>
    <w:rPr>
      <w:rFonts w:ascii="Arial" w:hAnsi="Arial" w:eastAsia="宋体" w:cs="Times New Roman"/>
      <w:snapToGrid w:val="0"/>
      <w:color w:val="000000"/>
      <w:kern w:val="0"/>
      <w:szCs w:val="20"/>
    </w:rPr>
  </w:style>
  <w:style w:type="paragraph" w:styleId="8">
    <w:name w:val="annotation text"/>
    <w:basedOn w:val="1"/>
    <w:link w:val="33"/>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styleId="9">
    <w:name w:val="Body Text"/>
    <w:basedOn w:val="1"/>
    <w:link w:val="34"/>
    <w:qFormat/>
    <w:uiPriority w:val="0"/>
    <w:pPr>
      <w:spacing w:after="120"/>
    </w:pPr>
    <w:rPr>
      <w:rFonts w:ascii="Times New Roman" w:hAnsi="Times New Roman" w:eastAsia="宋体" w:cs="Times New Roman"/>
      <w:szCs w:val="24"/>
    </w:rPr>
  </w:style>
  <w:style w:type="paragraph" w:styleId="10">
    <w:name w:val="Body Text Indent"/>
    <w:basedOn w:val="1"/>
    <w:link w:val="35"/>
    <w:qFormat/>
    <w:uiPriority w:val="0"/>
    <w:pPr>
      <w:ind w:firstLine="630"/>
    </w:pPr>
    <w:rPr>
      <w:rFonts w:ascii="宋体" w:hAnsi="Times New Roman" w:eastAsia="宋体" w:cs="Times New Roman"/>
      <w:sz w:val="32"/>
      <w:szCs w:val="20"/>
    </w:rPr>
  </w:style>
  <w:style w:type="paragraph" w:styleId="11">
    <w:name w:val="toc 3"/>
    <w:basedOn w:val="1"/>
    <w:next w:val="1"/>
    <w:qFormat/>
    <w:uiPriority w:val="39"/>
    <w:pPr>
      <w:tabs>
        <w:tab w:val="right" w:leader="dot" w:pos="9742"/>
      </w:tabs>
      <w:ind w:left="840" w:leftChars="400"/>
    </w:pPr>
    <w:rPr>
      <w:rFonts w:ascii="Times New Roman" w:hAnsi="Times New Roman" w:eastAsia="宋体" w:cs="Times New Roman"/>
      <w:szCs w:val="24"/>
    </w:rPr>
  </w:style>
  <w:style w:type="paragraph" w:styleId="12">
    <w:name w:val="Plain Text"/>
    <w:basedOn w:val="1"/>
    <w:link w:val="36"/>
    <w:qFormat/>
    <w:uiPriority w:val="0"/>
    <w:rPr>
      <w:rFonts w:ascii="宋体" w:hAnsi="Courier New" w:eastAsia="宋体" w:cs="Times New Roman"/>
      <w:szCs w:val="20"/>
    </w:rPr>
  </w:style>
  <w:style w:type="paragraph" w:styleId="13">
    <w:name w:val="Body Text Indent 2"/>
    <w:basedOn w:val="1"/>
    <w:link w:val="37"/>
    <w:qFormat/>
    <w:uiPriority w:val="0"/>
    <w:pPr>
      <w:tabs>
        <w:tab w:val="left" w:pos="4970"/>
      </w:tabs>
      <w:spacing w:line="360" w:lineRule="auto"/>
      <w:ind w:firstLine="480" w:firstLineChars="200"/>
    </w:pPr>
    <w:rPr>
      <w:rFonts w:ascii="Times New Roman" w:hAnsi="Times New Roman" w:eastAsia="宋体" w:cs="Times New Roman"/>
      <w:sz w:val="24"/>
      <w:szCs w:val="24"/>
    </w:rPr>
  </w:style>
  <w:style w:type="paragraph" w:styleId="14">
    <w:name w:val="Balloon Text"/>
    <w:basedOn w:val="1"/>
    <w:link w:val="38"/>
    <w:qFormat/>
    <w:uiPriority w:val="0"/>
    <w:rPr>
      <w:rFonts w:ascii="Times New Roman" w:hAnsi="Times New Roman" w:eastAsia="宋体" w:cs="Times New Roman"/>
      <w:sz w:val="18"/>
      <w:szCs w:val="18"/>
    </w:rPr>
  </w:style>
  <w:style w:type="paragraph" w:styleId="15">
    <w:name w:val="footer"/>
    <w:basedOn w:val="1"/>
    <w:link w:val="39"/>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6">
    <w:name w:val="header"/>
    <w:basedOn w:val="1"/>
    <w:link w:val="40"/>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7">
    <w:name w:val="toc 1"/>
    <w:basedOn w:val="1"/>
    <w:next w:val="1"/>
    <w:qFormat/>
    <w:uiPriority w:val="39"/>
    <w:rPr>
      <w:rFonts w:ascii="Times New Roman" w:hAnsi="Times New Roman" w:eastAsia="宋体" w:cs="Times New Roman"/>
      <w:szCs w:val="24"/>
    </w:rPr>
  </w:style>
  <w:style w:type="paragraph" w:styleId="18">
    <w:name w:val="Body Text Indent 3"/>
    <w:basedOn w:val="1"/>
    <w:link w:val="41"/>
    <w:qFormat/>
    <w:uiPriority w:val="99"/>
    <w:pPr>
      <w:spacing w:line="360" w:lineRule="auto"/>
      <w:ind w:left="1978" w:leftChars="942"/>
    </w:pPr>
    <w:rPr>
      <w:rFonts w:ascii="Times New Roman" w:hAnsi="宋体" w:eastAsia="宋体" w:cs="Times New Roman"/>
      <w:sz w:val="24"/>
      <w:szCs w:val="24"/>
    </w:rPr>
  </w:style>
  <w:style w:type="paragraph" w:styleId="19">
    <w:name w:val="toc 2"/>
    <w:basedOn w:val="1"/>
    <w:next w:val="1"/>
    <w:qFormat/>
    <w:uiPriority w:val="39"/>
    <w:pPr>
      <w:ind w:left="420" w:leftChars="200"/>
    </w:pPr>
    <w:rPr>
      <w:rFonts w:ascii="Times New Roman" w:hAnsi="Times New Roman" w:eastAsia="宋体" w:cs="Times New Roman"/>
      <w:szCs w:val="24"/>
    </w:rPr>
  </w:style>
  <w:style w:type="paragraph" w:styleId="20">
    <w:name w:val="Body Text 2"/>
    <w:basedOn w:val="1"/>
    <w:link w:val="42"/>
    <w:qFormat/>
    <w:uiPriority w:val="0"/>
    <w:rPr>
      <w:rFonts w:ascii="Times New Roman" w:hAnsi="Times New Roman" w:eastAsia="楷体_GB2312" w:cs="Times New Roman"/>
      <w:b/>
      <w:bCs/>
      <w:szCs w:val="24"/>
    </w:rPr>
  </w:style>
  <w:style w:type="paragraph" w:styleId="21">
    <w:name w:val="annotation subject"/>
    <w:basedOn w:val="8"/>
    <w:next w:val="8"/>
    <w:link w:val="43"/>
    <w:qFormat/>
    <w:uiPriority w:val="0"/>
    <w:pPr>
      <w:adjustRightInd/>
      <w:spacing w:line="240" w:lineRule="auto"/>
      <w:textAlignment w:val="auto"/>
    </w:pPr>
    <w:rPr>
      <w:b/>
      <w:bCs/>
      <w:kern w:val="2"/>
      <w:sz w:val="21"/>
      <w:szCs w:val="24"/>
    </w:rPr>
  </w:style>
  <w:style w:type="paragraph" w:styleId="22">
    <w:name w:val="Body Text First Indent"/>
    <w:basedOn w:val="9"/>
    <w:link w:val="44"/>
    <w:qFormat/>
    <w:uiPriority w:val="0"/>
    <w:pPr>
      <w:ind w:firstLine="420" w:firstLineChars="100"/>
    </w:pPr>
  </w:style>
  <w:style w:type="table" w:styleId="24">
    <w:name w:val="Table Grid"/>
    <w:basedOn w:val="23"/>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qFormat/>
    <w:uiPriority w:val="0"/>
  </w:style>
  <w:style w:type="character" w:styleId="27">
    <w:name w:val="Hyperlink"/>
    <w:basedOn w:val="25"/>
    <w:qFormat/>
    <w:uiPriority w:val="99"/>
    <w:rPr>
      <w:color w:val="333333"/>
      <w:u w:val="none"/>
    </w:rPr>
  </w:style>
  <w:style w:type="character" w:styleId="28">
    <w:name w:val="annotation reference"/>
    <w:qFormat/>
    <w:uiPriority w:val="0"/>
    <w:rPr>
      <w:sz w:val="21"/>
      <w:szCs w:val="21"/>
    </w:rPr>
  </w:style>
  <w:style w:type="character" w:customStyle="1" w:styleId="29">
    <w:name w:val="标题 1 字符"/>
    <w:basedOn w:val="25"/>
    <w:link w:val="2"/>
    <w:qFormat/>
    <w:uiPriority w:val="0"/>
    <w:rPr>
      <w:rFonts w:ascii="Times New Roman" w:hAnsi="Times New Roman" w:eastAsia="宋体" w:cs="Times New Roman"/>
      <w:b/>
      <w:bCs/>
      <w:kern w:val="44"/>
      <w:sz w:val="32"/>
      <w:szCs w:val="44"/>
    </w:rPr>
  </w:style>
  <w:style w:type="character" w:customStyle="1" w:styleId="30">
    <w:name w:val="标题 2 字符"/>
    <w:basedOn w:val="25"/>
    <w:link w:val="3"/>
    <w:uiPriority w:val="9"/>
    <w:rPr>
      <w:rFonts w:ascii="Arial" w:hAnsi="Arial" w:eastAsia="黑体" w:cs="Times New Roman"/>
      <w:b/>
      <w:bCs/>
      <w:sz w:val="32"/>
      <w:szCs w:val="32"/>
    </w:rPr>
  </w:style>
  <w:style w:type="character" w:customStyle="1" w:styleId="31">
    <w:name w:val="标题 3 字符"/>
    <w:basedOn w:val="25"/>
    <w:link w:val="4"/>
    <w:qFormat/>
    <w:uiPriority w:val="0"/>
    <w:rPr>
      <w:rFonts w:ascii="Times New Roman" w:hAnsi="Times New Roman" w:eastAsia="宋体" w:cs="Times New Roman"/>
      <w:b/>
      <w:bCs/>
      <w:sz w:val="24"/>
      <w:szCs w:val="32"/>
    </w:rPr>
  </w:style>
  <w:style w:type="character" w:customStyle="1" w:styleId="32">
    <w:name w:val="标题 4 字符"/>
    <w:basedOn w:val="25"/>
    <w:link w:val="5"/>
    <w:qFormat/>
    <w:uiPriority w:val="0"/>
    <w:rPr>
      <w:rFonts w:ascii="Arial" w:hAnsi="Arial" w:eastAsia="宋体" w:cs="Times New Roman"/>
      <w:b/>
      <w:bCs/>
      <w:szCs w:val="28"/>
    </w:rPr>
  </w:style>
  <w:style w:type="character" w:customStyle="1" w:styleId="33">
    <w:name w:val="批注文字 字符"/>
    <w:basedOn w:val="25"/>
    <w:link w:val="8"/>
    <w:qFormat/>
    <w:uiPriority w:val="0"/>
    <w:rPr>
      <w:rFonts w:ascii="Times New Roman" w:hAnsi="Times New Roman" w:eastAsia="宋体" w:cs="Times New Roman"/>
      <w:kern w:val="0"/>
      <w:sz w:val="24"/>
      <w:szCs w:val="20"/>
    </w:rPr>
  </w:style>
  <w:style w:type="character" w:customStyle="1" w:styleId="34">
    <w:name w:val="正文文本 字符"/>
    <w:basedOn w:val="25"/>
    <w:link w:val="9"/>
    <w:qFormat/>
    <w:uiPriority w:val="0"/>
    <w:rPr>
      <w:rFonts w:ascii="Times New Roman" w:hAnsi="Times New Roman" w:eastAsia="宋体" w:cs="Times New Roman"/>
      <w:szCs w:val="24"/>
    </w:rPr>
  </w:style>
  <w:style w:type="character" w:customStyle="1" w:styleId="35">
    <w:name w:val="正文文本缩进 字符"/>
    <w:basedOn w:val="25"/>
    <w:link w:val="10"/>
    <w:qFormat/>
    <w:uiPriority w:val="0"/>
    <w:rPr>
      <w:rFonts w:ascii="宋体" w:hAnsi="Times New Roman" w:eastAsia="宋体" w:cs="Times New Roman"/>
      <w:sz w:val="32"/>
      <w:szCs w:val="20"/>
    </w:rPr>
  </w:style>
  <w:style w:type="character" w:customStyle="1" w:styleId="36">
    <w:name w:val="纯文本 字符"/>
    <w:basedOn w:val="25"/>
    <w:link w:val="12"/>
    <w:qFormat/>
    <w:uiPriority w:val="0"/>
    <w:rPr>
      <w:rFonts w:ascii="宋体" w:hAnsi="Courier New" w:eastAsia="宋体" w:cs="Times New Roman"/>
      <w:szCs w:val="20"/>
    </w:rPr>
  </w:style>
  <w:style w:type="character" w:customStyle="1" w:styleId="37">
    <w:name w:val="正文文本缩进 2 字符"/>
    <w:basedOn w:val="25"/>
    <w:link w:val="13"/>
    <w:qFormat/>
    <w:uiPriority w:val="0"/>
    <w:rPr>
      <w:rFonts w:ascii="Times New Roman" w:hAnsi="Times New Roman" w:eastAsia="宋体" w:cs="Times New Roman"/>
      <w:sz w:val="24"/>
      <w:szCs w:val="24"/>
    </w:rPr>
  </w:style>
  <w:style w:type="character" w:customStyle="1" w:styleId="38">
    <w:name w:val="批注框文本 字符"/>
    <w:basedOn w:val="25"/>
    <w:link w:val="14"/>
    <w:qFormat/>
    <w:uiPriority w:val="0"/>
    <w:rPr>
      <w:rFonts w:ascii="Times New Roman" w:hAnsi="Times New Roman" w:eastAsia="宋体" w:cs="Times New Roman"/>
      <w:sz w:val="18"/>
      <w:szCs w:val="18"/>
    </w:rPr>
  </w:style>
  <w:style w:type="character" w:customStyle="1" w:styleId="39">
    <w:name w:val="页脚 字符"/>
    <w:basedOn w:val="25"/>
    <w:link w:val="15"/>
    <w:qFormat/>
    <w:uiPriority w:val="0"/>
    <w:rPr>
      <w:rFonts w:ascii="Times New Roman" w:hAnsi="Times New Roman" w:eastAsia="宋体" w:cs="Times New Roman"/>
      <w:sz w:val="18"/>
      <w:szCs w:val="18"/>
    </w:rPr>
  </w:style>
  <w:style w:type="character" w:customStyle="1" w:styleId="40">
    <w:name w:val="页眉 字符"/>
    <w:basedOn w:val="25"/>
    <w:link w:val="16"/>
    <w:qFormat/>
    <w:uiPriority w:val="0"/>
    <w:rPr>
      <w:rFonts w:ascii="Times New Roman" w:hAnsi="Times New Roman" w:eastAsia="宋体" w:cs="Times New Roman"/>
      <w:sz w:val="18"/>
      <w:szCs w:val="18"/>
    </w:rPr>
  </w:style>
  <w:style w:type="character" w:customStyle="1" w:styleId="41">
    <w:name w:val="正文文本缩进 3 字符"/>
    <w:basedOn w:val="25"/>
    <w:link w:val="18"/>
    <w:qFormat/>
    <w:uiPriority w:val="99"/>
    <w:rPr>
      <w:rFonts w:ascii="Times New Roman" w:hAnsi="宋体" w:eastAsia="宋体" w:cs="Times New Roman"/>
      <w:sz w:val="24"/>
      <w:szCs w:val="24"/>
    </w:rPr>
  </w:style>
  <w:style w:type="character" w:customStyle="1" w:styleId="42">
    <w:name w:val="正文文本 2 字符"/>
    <w:basedOn w:val="25"/>
    <w:link w:val="20"/>
    <w:qFormat/>
    <w:uiPriority w:val="0"/>
    <w:rPr>
      <w:rFonts w:ascii="Times New Roman" w:hAnsi="Times New Roman" w:eastAsia="楷体_GB2312" w:cs="Times New Roman"/>
      <w:b/>
      <w:bCs/>
      <w:szCs w:val="24"/>
    </w:rPr>
  </w:style>
  <w:style w:type="character" w:customStyle="1" w:styleId="43">
    <w:name w:val="批注主题 字符"/>
    <w:basedOn w:val="33"/>
    <w:link w:val="21"/>
    <w:qFormat/>
    <w:uiPriority w:val="0"/>
    <w:rPr>
      <w:rFonts w:ascii="Times New Roman" w:hAnsi="Times New Roman" w:eastAsia="宋体" w:cs="Times New Roman"/>
      <w:b/>
      <w:bCs/>
      <w:kern w:val="0"/>
      <w:sz w:val="24"/>
      <w:szCs w:val="24"/>
    </w:rPr>
  </w:style>
  <w:style w:type="character" w:customStyle="1" w:styleId="44">
    <w:name w:val="正文文本首行缩进 字符"/>
    <w:basedOn w:val="34"/>
    <w:link w:val="22"/>
    <w:qFormat/>
    <w:uiPriority w:val="0"/>
    <w:rPr>
      <w:rFonts w:ascii="Times New Roman" w:hAnsi="Times New Roman" w:eastAsia="宋体" w:cs="Times New Roman"/>
      <w:szCs w:val="24"/>
    </w:rPr>
  </w:style>
  <w:style w:type="paragraph" w:customStyle="1" w:styleId="45">
    <w:name w:val="Default"/>
    <w:qFormat/>
    <w:uiPriority w:val="0"/>
    <w:pPr>
      <w:widowControl w:val="0"/>
      <w:autoSpaceDE w:val="0"/>
      <w:autoSpaceDN w:val="0"/>
      <w:adjustRightInd w:val="0"/>
    </w:pPr>
    <w:rPr>
      <w:rFonts w:ascii="华文中宋" w:hAnsi="Times New Roman" w:eastAsia="华文中宋" w:cs="华文中宋"/>
      <w:color w:val="000000"/>
      <w:kern w:val="0"/>
      <w:sz w:val="24"/>
      <w:szCs w:val="24"/>
      <w:lang w:val="en-US" w:eastAsia="zh-CN" w:bidi="ar-SA"/>
    </w:rPr>
  </w:style>
  <w:style w:type="paragraph" w:customStyle="1" w:styleId="46">
    <w:name w:val="专正5"/>
    <w:basedOn w:val="1"/>
    <w:qFormat/>
    <w:uiPriority w:val="0"/>
    <w:pPr>
      <w:spacing w:line="300" w:lineRule="auto"/>
      <w:ind w:firstLine="420" w:firstLineChars="200"/>
    </w:pPr>
    <w:rPr>
      <w:rFonts w:ascii="宋体" w:hAnsi="Calibri" w:eastAsia="宋体" w:cs="Times New Roman"/>
      <w:szCs w:val="24"/>
    </w:rPr>
  </w:style>
  <w:style w:type="paragraph" w:styleId="47">
    <w:name w:val="List Paragraph"/>
    <w:basedOn w:val="1"/>
    <w:qFormat/>
    <w:uiPriority w:val="0"/>
    <w:pPr>
      <w:ind w:firstLine="420" w:firstLineChars="200"/>
    </w:pPr>
    <w:rPr>
      <w:rFonts w:ascii="Times New Roman" w:hAnsi="Times New Roman" w:eastAsia="宋体" w:cs="Times New Roman"/>
      <w:szCs w:val="20"/>
    </w:rPr>
  </w:style>
  <w:style w:type="paragraph" w:customStyle="1" w:styleId="48">
    <w:name w:val="K&amp;W Body text"/>
    <w:basedOn w:val="49"/>
    <w:qFormat/>
    <w:uiPriority w:val="0"/>
    <w:pPr>
      <w:ind w:firstLine="200" w:firstLineChars="200"/>
    </w:pPr>
    <w:rPr>
      <w:color w:val="auto"/>
    </w:rPr>
  </w:style>
  <w:style w:type="paragraph" w:customStyle="1" w:styleId="49">
    <w:name w:val="K&amp;W Normal"/>
    <w:qFormat/>
    <w:uiPriority w:val="0"/>
    <w:pPr>
      <w:spacing w:after="360" w:line="320" w:lineRule="atLeast"/>
      <w:jc w:val="both"/>
    </w:pPr>
    <w:rPr>
      <w:rFonts w:ascii="Arial" w:hAnsi="Arial" w:eastAsia="楷体_GB2312" w:cs="Times New Roman"/>
      <w:color w:val="000000"/>
      <w:kern w:val="0"/>
      <w:sz w:val="24"/>
      <w:szCs w:val="20"/>
      <w:lang w:val="en-US" w:eastAsia="en-US" w:bidi="ar-SA"/>
    </w:rPr>
  </w:style>
  <w:style w:type="paragraph" w:customStyle="1" w:styleId="5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51">
    <w:name w:val="ca-3"/>
    <w:qFormat/>
    <w:uiPriority w:val="0"/>
    <w:rPr>
      <w:rFonts w:cs="Times New Roman"/>
    </w:rPr>
  </w:style>
  <w:style w:type="character" w:customStyle="1" w:styleId="52">
    <w:name w:val="ca-2"/>
    <w:qFormat/>
    <w:uiPriority w:val="0"/>
    <w:rPr>
      <w:rFonts w:cs="Times New Roman"/>
    </w:rPr>
  </w:style>
  <w:style w:type="paragraph" w:customStyle="1" w:styleId="53">
    <w:name w:val="默认段落字体 Para Char Char Char Char Char Char Char"/>
    <w:basedOn w:val="1"/>
    <w:qFormat/>
    <w:uiPriority w:val="0"/>
    <w:rPr>
      <w:rFonts w:ascii="Times New Roman" w:hAnsi="Times New Roman" w:eastAsia="宋体" w:cs="Times New Roman"/>
      <w:szCs w:val="24"/>
    </w:rPr>
  </w:style>
  <w:style w:type="paragraph" w:customStyle="1" w:styleId="5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6166</Words>
  <Characters>6899</Characters>
  <Lines>58</Lines>
  <Paragraphs>16</Paragraphs>
  <TotalTime>37</TotalTime>
  <ScaleCrop>false</ScaleCrop>
  <LinksUpToDate>false</LinksUpToDate>
  <CharactersWithSpaces>6900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2022-03-29T02:45:00Z</dcterms:created>
  <dc:creator>杨 振鸿</dc:creator>
  <cp:lastModifiedBy>pawpaw</cp:lastModifiedBy>
  <dcterms:modified xsi:type="dcterms:W3CDTF">2022-03-30T03:22:22Z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50C7319A899F44F3AB140629DB4A66EF</vt:lpwstr>
  </property>
</Properties>
</file>